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 15 (Order Contract Management)</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07">
            <w:pPr>
              <w:ind w:firstLine="425.1968503937008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Manager"</w:t>
            </w:r>
          </w:p>
        </w:tc>
        <w:tc>
          <w:tcPr/>
          <w:p w:rsidR="00000000" w:rsidDel="00000000" w:rsidP="00000000" w:rsidRDefault="00000000" w:rsidRPr="00000000" w14:paraId="00000008">
            <w:pPr>
              <w:ind w:firstLine="283.4645669291342"/>
              <w:rPr>
                <w:rFonts w:ascii="Arial" w:cs="Arial" w:eastAsia="Arial" w:hAnsi="Arial"/>
                <w:sz w:val="24"/>
                <w:szCs w:val="24"/>
              </w:rPr>
            </w:pPr>
            <w:r w:rsidDel="00000000" w:rsidR="00000000" w:rsidRPr="00000000">
              <w:rPr>
                <w:rFonts w:ascii="Arial" w:cs="Arial" w:eastAsia="Arial" w:hAnsi="Arial"/>
                <w:sz w:val="24"/>
                <w:szCs w:val="24"/>
                <w:rtl w:val="0"/>
              </w:rPr>
              <w:t xml:space="preserve">the manager appointed in accordance with paragraph 2.1 of this Schedule;</w:t>
            </w:r>
          </w:p>
          <w:p w:rsidR="00000000" w:rsidDel="00000000" w:rsidP="00000000" w:rsidRDefault="00000000" w:rsidRPr="00000000" w14:paraId="00000009">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0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Managing the contract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and the Client shall each appoint a Contract Manager for the purposes of this Contract through whom the provision of the Goods or Services shall be managed day-to-day.</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Parties shall ensure that appropriate resource and expertise is made available to deliver the aims, objectives and specific provisions of the Contract. The Client will give the Agency instructions as to its requirements for the Goods or Services.  These will be included in a Statement of Work and may include start and end dates for each stage of the proposed Goods or Services.</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During the Contract Period, the Agency will:</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keep the Client fully informed as to the progress and status of all Goods or Services, by preparing and submitting written reports at such intervals and in such format as is agreed by the Parties; and</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promptly inform the Client of any actual or anticipated problems relating to provision of the Goods or Services. Receipt of communication from the Agency by the Client does not absolve the Agency from its responsibilities, obligations or liabilities under the Contract.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During the Contract Period, the Parties’ respective Contract Managers will arrange and attend meetings to review the status and progress of the Goods or Services and to seek to resolve any issues that have arisen. These meetings will be held at locations and intervals as agreed by the Parties.</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Unless otherwise agreed in the Statement of Work,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telephone conversation.</w:t>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Approvals and Authority</w:t>
      </w: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For the purposes of this Order Schedule 15, any reference to Client Approval means written approval in one of the following ways:</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issuing a purchase order bearing the signature of an Authorised Client Approver;</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email from the individual business email address of an Authorised Client Approver; or</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signature of an Authorised Client Approver on the Agency’s documentation.</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will seek the Client’s prior Approval of:</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estimates or quotations for any costs to be paid by the Client that are not agreed in a Statement of Work; and</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creative treatments, including but not limited to scripts, messaging, storyboards, copy, layouts, design, artwork, or proposed marketing activity.</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will seek the Client’s prior Approval of any draft Goods or Services. The Client’s Approval will be the Agency’s authority to proceed with the use of the relevant Goods or Services.</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Client does not approve of any matter requiring Approval, it must notify the Agency of its reasons for disapproval within 14 days of the Agency’s request.</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Client delays approving or notifying the Agency as to its disapproval, the Agency will not be liable for any resulting delays or adverse impact caused to the delivery of the Statement of Work.</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Campaign Performance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3">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agrees to provide access to data and support for Audits undertaken by the Client and its Auditors under the CRTPA relating to campaign performance under the Contract during and after campaigns.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will fully comply with all remote access requests.</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Auditor may share data with relevant key stakeholders as necessary to complete the work. Where the Client carries out an Audit it will own the resulting report and may share non-sensitive outcomes as appropriate.</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and the Client will agree a plan to address Audit findings to optimise campaign performance. </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Both Parties will proactively manage risks attributed to them under the terms of this Contract.</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will develop, operate, maintain and amend, as agreed with the Client, processes for:</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International Work</w:t>
      </w: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management and process for Client billing under Statements of Work including international work is to be agreed prior to the commencement of the Statement of Work and set out in the Statement of Work or Letter of Appointment.</w:t>
      </w:r>
    </w:p>
    <w:p w:rsidR="00000000" w:rsidDel="00000000" w:rsidP="00000000" w:rsidRDefault="00000000" w:rsidRPr="00000000" w14:paraId="0000004A">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Contract Boards</w:t>
      </w:r>
    </w:p>
    <w:p w:rsidR="00000000" w:rsidDel="00000000" w:rsidP="00000000" w:rsidRDefault="00000000" w:rsidRPr="00000000" w14:paraId="0000004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operate the following boards at the locations and at the frequencies set out below:</w:t>
      </w:r>
    </w:p>
    <w:p w:rsidR="00000000" w:rsidDel="00000000" w:rsidP="00000000" w:rsidRDefault="00000000" w:rsidRPr="00000000" w14:paraId="0000004D">
      <w:pPr>
        <w:rPr>
          <w:rFonts w:ascii="Arial" w:cs="Arial" w:eastAsia="Arial" w:hAnsi="Arial"/>
          <w:sz w:val="24"/>
          <w:szCs w:val="24"/>
        </w:rPr>
      </w:pPr>
      <w:r w:rsidDel="00000000" w:rsidR="00000000" w:rsidRPr="00000000">
        <w:rPr>
          <w:rFonts w:ascii="Arial" w:cs="Arial" w:eastAsia="Arial" w:hAnsi="Arial"/>
          <w:sz w:val="24"/>
          <w:szCs w:val="24"/>
          <w:rtl w:val="0"/>
        </w:rPr>
        <w:t xml:space="preserve">[Guidance note: Details of additional boards to be inserted.]</w:t>
      </w:r>
    </w:p>
    <w:p w:rsidR="00000000" w:rsidDel="00000000" w:rsidP="00000000" w:rsidRDefault="00000000" w:rsidRPr="00000000" w14:paraId="0000004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4">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15 (Order Contract Management)</w:t>
    </w:r>
  </w:p>
  <w:p w:rsidR="00000000" w:rsidDel="00000000" w:rsidP="00000000" w:rsidRDefault="00000000" w:rsidRPr="00000000" w14:paraId="0000005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52">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rPr>
    </w:lvl>
    <w:lvl w:ilvl="1">
      <w:start w:val="1"/>
      <w:numFmt w:val="decimal"/>
      <w:lvlText w:val="%1.%2."/>
      <w:lvlJc w:val="left"/>
      <w:pPr>
        <w:ind w:left="792" w:hanging="432"/>
      </w:pPr>
      <w:rPr>
        <w:rFonts w:ascii="Calibri" w:cs="Calibri" w:eastAsia="Calibri" w:hAnsi="Calibri"/>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750EF"/>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link w:val="ListParagraphChar"/>
    <w:uiPriority w:val="34"/>
    <w:qFormat w:val="1"/>
    <w:rsid w:val="009750EF"/>
    <w:pPr>
      <w:widowControl w:val="0"/>
      <w:spacing w:after="120" w:before="120" w:line="240" w:lineRule="auto"/>
      <w:contextualSpacing w:val="1"/>
    </w:pPr>
    <w:rPr>
      <w:rFonts w:ascii="Arial" w:cs="Arial" w:hAnsi="Arial"/>
      <w:sz w:val="24"/>
      <w:szCs w:val="24"/>
    </w:rPr>
  </w:style>
  <w:style w:type="character" w:styleId="ListParagraphChar" w:customStyle="1">
    <w:name w:val="List Paragraph Char"/>
    <w:basedOn w:val="DefaultParagraphFont"/>
    <w:link w:val="ListParagraph"/>
    <w:uiPriority w:val="34"/>
    <w:rsid w:val="009750EF"/>
    <w:rPr>
      <w:rFonts w:ascii="Arial" w:cs="Arial" w:eastAsia="Calibri" w:hAnsi="Arial"/>
      <w:sz w:val="24"/>
      <w:szCs w:val="24"/>
      <w:lang w:eastAsia="en-GB"/>
    </w:rPr>
  </w:style>
  <w:style w:type="table" w:styleId="6" w:customStyle="1">
    <w:name w:val="6"/>
    <w:basedOn w:val="TableNormal"/>
    <w:rsid w:val="009750EF"/>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9750EF"/>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750EF"/>
    <w:rPr>
      <w:rFonts w:ascii="Segoe UI" w:cs="Segoe UI" w:eastAsia="Calibri" w:hAnsi="Segoe UI"/>
      <w:sz w:val="18"/>
      <w:szCs w:val="1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qpY+FdrsmV/EOKsVMnHH0UdPg==">AMUW2mV3V9AhKSWf6qPV2EJ+iBIBRoqld4LPCOYi1o7vLpAtdn8J2wNQXFr5nAnN1ESsRTlstjkoIBEwFzmT8HUyrZKo8mjzo8XCJE7m14TP86aXFgiweAmujTIQHjxUe0+jTxpJxnb6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2021-07-26T14:46:00Z</dcterms:created>
  <dc:creator>Hannah Wright</dc:creator>
</cp:coreProperties>
</file>